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24"/>
          <w:szCs w:val="24"/>
        </w:rPr>
      </w:pPr>
      <w:bookmarkStart w:colFirst="0" w:colLast="0" w:name="_heading=h.2et92p0" w:id="0"/>
      <w:bookmarkEnd w:id="0"/>
      <w:r w:rsidDel="00000000" w:rsidR="00000000" w:rsidRPr="00000000">
        <w:rPr>
          <w:rFonts w:ascii="Arial" w:cs="Arial" w:eastAsia="Arial" w:hAnsi="Arial"/>
          <w:b w:val="1"/>
          <w:sz w:val="24"/>
          <w:szCs w:val="24"/>
          <w:rtl w:val="0"/>
        </w:rPr>
        <w:t xml:space="preserve">Joint Schedule 1 (Definitions)</w:t>
      </w:r>
    </w:p>
    <w:p w:rsidR="00000000" w:rsidDel="00000000" w:rsidP="00000000" w:rsidRDefault="00000000" w:rsidRPr="00000000" w14:paraId="00000002">
      <w:pPr>
        <w:numPr>
          <w:ilvl w:val="1"/>
          <w:numId w:val="11"/>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r w:rsidDel="00000000" w:rsidR="00000000" w:rsidRPr="00000000">
        <w:rPr>
          <w:rtl w:val="0"/>
        </w:rPr>
      </w:r>
    </w:p>
    <w:p w:rsidR="00000000" w:rsidDel="00000000" w:rsidP="00000000" w:rsidRDefault="00000000" w:rsidRPr="00000000" w14:paraId="00000003">
      <w:pPr>
        <w:numPr>
          <w:ilvl w:val="1"/>
          <w:numId w:val="11"/>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r w:rsidDel="00000000" w:rsidR="00000000" w:rsidRPr="00000000">
        <w:rPr>
          <w:rtl w:val="0"/>
        </w:rPr>
      </w:r>
    </w:p>
    <w:p w:rsidR="00000000" w:rsidDel="00000000" w:rsidP="00000000" w:rsidRDefault="00000000" w:rsidRPr="00000000" w14:paraId="00000004">
      <w:pPr>
        <w:numPr>
          <w:ilvl w:val="1"/>
          <w:numId w:val="11"/>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each Contract, unless the context otherwise requires:</w:t>
      </w:r>
      <w:r w:rsidDel="00000000" w:rsidR="00000000" w:rsidRPr="00000000">
        <w:rPr>
          <w:rtl w:val="0"/>
        </w:rPr>
      </w:r>
    </w:p>
    <w:p w:rsidR="00000000" w:rsidDel="00000000" w:rsidP="00000000" w:rsidRDefault="00000000" w:rsidRPr="00000000" w14:paraId="00000005">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w:t>
      </w:r>
    </w:p>
    <w:p w:rsidR="00000000" w:rsidDel="00000000" w:rsidP="00000000" w:rsidRDefault="00000000" w:rsidRPr="00000000" w14:paraId="00000012">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1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11"/>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7990"/>
        <w:tblGridChange w:id="0">
          <w:tblGrid>
            <w:gridCol w:w="2070"/>
            <w:gridCol w:w="7990"/>
          </w:tblGrid>
        </w:tblGridChange>
      </w:tblGrid>
      <w:tr>
        <w:trPr>
          <w:cantSplit w:val="0"/>
          <w:tblHeader w:val="0"/>
        </w:trPr>
        <w:tc>
          <w:tcPr/>
          <w:p w:rsidR="00000000" w:rsidDel="00000000" w:rsidP="00000000" w:rsidRDefault="00000000" w:rsidRPr="00000000" w14:paraId="00000019">
            <w:pPr>
              <w:spacing w:after="120" w:lineRule="auto"/>
              <w:ind w:left="141" w:firstLine="0"/>
              <w:rPr>
                <w:rFonts w:ascii="Arial" w:cs="Arial" w:eastAsia="Arial" w:hAnsi="Arial"/>
                <w:b w:val="1"/>
                <w:color w:val="ff0000"/>
                <w:sz w:val="24"/>
                <w:szCs w:val="24"/>
              </w:rPr>
            </w:pPr>
            <w:bookmarkStart w:colFirst="0" w:colLast="0" w:name="_heading=h.3znysh7" w:id="4"/>
            <w:bookmarkEnd w:id="4"/>
            <w:r w:rsidDel="00000000" w:rsidR="00000000" w:rsidRPr="00000000">
              <w:rPr>
                <w:rFonts w:ascii="Arial" w:cs="Arial" w:eastAsia="Arial" w:hAnsi="Arial"/>
                <w:b w:val="1"/>
                <w:color w:val="ff0000"/>
                <w:sz w:val="24"/>
                <w:szCs w:val="24"/>
                <w:rtl w:val="0"/>
              </w:rPr>
              <w:t xml:space="preserve">“Accounting</w:t>
            </w:r>
          </w:p>
          <w:p w:rsidR="00000000" w:rsidDel="00000000" w:rsidP="00000000" w:rsidRDefault="00000000" w:rsidRPr="00000000" w14:paraId="0000001A">
            <w:pPr>
              <w:spacing w:after="120" w:lineRule="auto"/>
              <w:ind w:left="141" w:firstLine="0"/>
              <w:rPr>
                <w:rFonts w:ascii="Arial" w:cs="Arial" w:eastAsia="Arial" w:hAnsi="Arial"/>
                <w:b w:val="1"/>
                <w:sz w:val="24"/>
                <w:szCs w:val="24"/>
              </w:rPr>
            </w:pPr>
            <w:bookmarkStart w:colFirst="0" w:colLast="0" w:name="_heading=h.3znysh7" w:id="4"/>
            <w:bookmarkEnd w:id="4"/>
            <w:r w:rsidDel="00000000" w:rsidR="00000000" w:rsidRPr="00000000">
              <w:rPr>
                <w:rFonts w:ascii="Arial" w:cs="Arial" w:eastAsia="Arial" w:hAnsi="Arial"/>
                <w:b w:val="1"/>
                <w:color w:val="ff0000"/>
                <w:sz w:val="24"/>
                <w:szCs w:val="24"/>
                <w:rtl w:val="0"/>
              </w:rPr>
              <w:t xml:space="preserve">Reference Date”</w:t>
            </w:r>
            <w:r w:rsidDel="00000000" w:rsidR="00000000" w:rsidRPr="00000000">
              <w:rPr>
                <w:rtl w:val="0"/>
              </w:rPr>
            </w:r>
          </w:p>
        </w:tc>
        <w:tc>
          <w:tcPr/>
          <w:p w:rsidR="00000000" w:rsidDel="00000000" w:rsidP="00000000" w:rsidRDefault="00000000" w:rsidRPr="00000000" w14:paraId="0000001B">
            <w:pPr>
              <w:tabs>
                <w:tab w:val="left" w:leader="none" w:pos="-179"/>
                <w:tab w:val="left" w:leader="none" w:pos="-9"/>
              </w:tabs>
              <w:spacing w:after="120" w:lineRule="auto"/>
              <w:ind w:left="141" w:right="158" w:firstLine="0"/>
              <w:jc w:val="both"/>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Accounting Reference Date; 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Training Charge”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 for any additional training agreed to be provided by the Supplier to the Buyer in excess of the Value Added Services set out in Framework Schedule 1 (Specification), which shall not exceed the Supplier’s hourly rates;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30">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31">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32">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3">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4">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5">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6">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7">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8">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9">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A">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p w:rsidR="00000000" w:rsidDel="00000000" w:rsidP="00000000" w:rsidRDefault="00000000" w:rsidRPr="00000000" w14:paraId="0000003B">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receive from the Supplier on request summaries of all central Government public sector expenditure placed with the Supplier including through routes outside the Framework Contract in order to verify that the Supplier’s practice is consistent with the Government’s transparency on common goods and services; or</w:t>
            </w:r>
            <w:r w:rsidDel="00000000" w:rsidR="00000000" w:rsidRPr="00000000">
              <w:rPr>
                <w:rtl w:val="0"/>
              </w:rPr>
            </w:r>
          </w:p>
          <w:p w:rsidR="00000000" w:rsidDel="00000000" w:rsidP="00000000" w:rsidRDefault="00000000" w:rsidRPr="00000000" w14:paraId="0000003C">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inspect the Buyer’s Assets, including IPR, equipment and facilities, for the purposes of ensuring that the Buyer’s Assets are secure and that any register of assets is up-to-date;</w:t>
            </w: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E">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F">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40">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41">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42">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43">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5">
            <w:pPr>
              <w:ind w:left="141" w:right="15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 or their proposal following a direct award in accordance Framework Schedule 7 (Call-Off Award Procedure);</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“Capped Price”</w:t>
            </w:r>
            <w:r w:rsidDel="00000000" w:rsidR="00000000" w:rsidRPr="00000000">
              <w:rPr>
                <w:rtl w:val="0"/>
              </w:rPr>
            </w:r>
          </w:p>
        </w:tc>
        <w:tc>
          <w:tcPr/>
          <w:p w:rsidR="00000000" w:rsidDel="00000000" w:rsidP="00000000" w:rsidRDefault="00000000" w:rsidRPr="00000000" w14:paraId="0000006B">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Pricing Mechanism where the Supplier agrees that the Charges to be paid by the Buyer will not exceed a maximum amount (i.e. a ‘cap’) for the supply of the Deliverables or, one or more specific elements of the Deliverables, which can be calculated either:</w:t>
            </w:r>
          </w:p>
          <w:p w:rsidR="00000000" w:rsidDel="00000000" w:rsidP="00000000" w:rsidRDefault="00000000" w:rsidRPr="00000000" w14:paraId="0000006C">
            <w:pPr>
              <w:tabs>
                <w:tab w:val="left" w:leader="none" w:pos="-179"/>
                <w:tab w:val="left" w:leader="none" w:pos="-9"/>
              </w:tabs>
              <w:spacing w:after="120" w:lineRule="auto"/>
              <w:ind w:left="102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by reference to a single capped price, with hourly rates charged up to the maximum of the cap; or</w:t>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1048"/>
              </w:tabs>
              <w:spacing w:after="120" w:lineRule="auto"/>
              <w:ind w:left="906" w:right="214" w:hanging="2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multiple capped prices, each referenced to a different element or milestone of the Deliverables, with hourly rates charged up to the cap;</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4">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75">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6">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7">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 change of control within the meaning of Section 450 of the Corporation Tax Act 2010; or </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any instance where the Supplier demerges into 2 or more firms, merges with another firm, incorporated or otherwise changes its legal form;</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 and excluding Secondment Charges;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any goods and/or services under an existing arrangement between the Supplier and Buyer;</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 and includes the meaning set out in the SRA Standards and Regulations (issued 29 October 2019: https://www.sra.org.uk/solicitors/guidance/ethics-guidance/conflicts-interest/) or equivalent Regulatory Compliance requirements in jurisdictions other than England and Wales, as amended from time to time;  </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 </w:t>
            </w:r>
          </w:p>
          <w:p w:rsidR="00000000" w:rsidDel="00000000" w:rsidP="00000000" w:rsidRDefault="00000000" w:rsidRPr="00000000" w14:paraId="000000A3">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A4">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base salary paid to the Supplier Staff;</w:t>
            </w:r>
            <w:r w:rsidDel="00000000" w:rsidR="00000000" w:rsidRPr="00000000">
              <w:rPr>
                <w:rtl w:val="0"/>
              </w:rPr>
            </w:r>
          </w:p>
          <w:p w:rsidR="00000000" w:rsidDel="00000000" w:rsidP="00000000" w:rsidRDefault="00000000" w:rsidRPr="00000000" w14:paraId="000000A5">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employer’s National Insurance contributions;</w:t>
            </w:r>
            <w:r w:rsidDel="00000000" w:rsidR="00000000" w:rsidRPr="00000000">
              <w:rPr>
                <w:rtl w:val="0"/>
              </w:rPr>
            </w:r>
          </w:p>
          <w:p w:rsidR="00000000" w:rsidDel="00000000" w:rsidP="00000000" w:rsidRDefault="00000000" w:rsidRPr="00000000" w14:paraId="000000A6">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pension contributions;</w:t>
            </w:r>
            <w:r w:rsidDel="00000000" w:rsidR="00000000" w:rsidRPr="00000000">
              <w:rPr>
                <w:rtl w:val="0"/>
              </w:rPr>
            </w:r>
          </w:p>
          <w:p w:rsidR="00000000" w:rsidDel="00000000" w:rsidP="00000000" w:rsidRDefault="00000000" w:rsidRPr="00000000" w14:paraId="000000A7">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 allowances; </w:t>
            </w:r>
            <w:r w:rsidDel="00000000" w:rsidR="00000000" w:rsidRPr="00000000">
              <w:rPr>
                <w:rtl w:val="0"/>
              </w:rPr>
            </w:r>
          </w:p>
          <w:p w:rsidR="00000000" w:rsidDel="00000000" w:rsidP="00000000" w:rsidRDefault="00000000" w:rsidRPr="00000000" w14:paraId="000000A8">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other contractual employment benefits;</w:t>
            </w:r>
            <w:r w:rsidDel="00000000" w:rsidR="00000000" w:rsidRPr="00000000">
              <w:rPr>
                <w:rtl w:val="0"/>
              </w:rPr>
            </w:r>
          </w:p>
          <w:p w:rsidR="00000000" w:rsidDel="00000000" w:rsidP="00000000" w:rsidRDefault="00000000" w:rsidRPr="00000000" w14:paraId="000000A9">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staff training;</w:t>
            </w:r>
            <w:r w:rsidDel="00000000" w:rsidR="00000000" w:rsidRPr="00000000">
              <w:rPr>
                <w:rtl w:val="0"/>
              </w:rPr>
            </w:r>
          </w:p>
          <w:p w:rsidR="00000000" w:rsidDel="00000000" w:rsidP="00000000" w:rsidRDefault="00000000" w:rsidRPr="00000000" w14:paraId="000000AA">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work place accommodation;</w:t>
            </w:r>
            <w:r w:rsidDel="00000000" w:rsidR="00000000" w:rsidRPr="00000000">
              <w:rPr>
                <w:rtl w:val="0"/>
              </w:rPr>
            </w:r>
          </w:p>
          <w:p w:rsidR="00000000" w:rsidDel="00000000" w:rsidP="00000000" w:rsidRDefault="00000000" w:rsidRPr="00000000" w14:paraId="000000AB">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AC">
            <w:pPr>
              <w:numPr>
                <w:ilvl w:val="2"/>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r w:rsidDel="00000000" w:rsidR="00000000" w:rsidRPr="00000000">
              <w:rPr>
                <w:rtl w:val="0"/>
              </w:rPr>
            </w:r>
          </w:p>
          <w:p w:rsidR="00000000" w:rsidDel="00000000" w:rsidP="00000000" w:rsidRDefault="00000000" w:rsidRPr="00000000" w14:paraId="000000AD">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E">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F">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costs described in a) to d) above shall exclude: </w:t>
            </w:r>
          </w:p>
          <w:p w:rsidR="00000000" w:rsidDel="00000000" w:rsidP="00000000" w:rsidRDefault="00000000" w:rsidRPr="00000000" w14:paraId="000000B1">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r w:rsidDel="00000000" w:rsidR="00000000" w:rsidRPr="00000000">
              <w:rPr>
                <w:rtl w:val="0"/>
              </w:rPr>
            </w:r>
          </w:p>
          <w:p w:rsidR="00000000" w:rsidDel="00000000" w:rsidP="00000000" w:rsidRDefault="00000000" w:rsidRPr="00000000" w14:paraId="000000B2">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r w:rsidDel="00000000" w:rsidR="00000000" w:rsidRPr="00000000">
              <w:rPr>
                <w:rtl w:val="0"/>
              </w:rPr>
            </w:r>
          </w:p>
          <w:p w:rsidR="00000000" w:rsidDel="00000000" w:rsidP="00000000" w:rsidRDefault="00000000" w:rsidRPr="00000000" w14:paraId="000000B3">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r w:rsidDel="00000000" w:rsidR="00000000" w:rsidRPr="00000000">
              <w:rPr>
                <w:rtl w:val="0"/>
              </w:rPr>
            </w:r>
          </w:p>
          <w:p w:rsidR="00000000" w:rsidDel="00000000" w:rsidP="00000000" w:rsidRDefault="00000000" w:rsidRPr="00000000" w14:paraId="000000B4">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r w:rsidDel="00000000" w:rsidR="00000000" w:rsidRPr="00000000">
              <w:rPr>
                <w:rtl w:val="0"/>
              </w:rPr>
            </w:r>
          </w:p>
          <w:p w:rsidR="00000000" w:rsidDel="00000000" w:rsidP="00000000" w:rsidRDefault="00000000" w:rsidRPr="00000000" w14:paraId="000000B5">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r w:rsidDel="00000000" w:rsidR="00000000" w:rsidRPr="00000000">
              <w:rPr>
                <w:rtl w:val="0"/>
              </w:rPr>
            </w:r>
          </w:p>
          <w:p w:rsidR="00000000" w:rsidDel="00000000" w:rsidP="00000000" w:rsidRDefault="00000000" w:rsidRPr="00000000" w14:paraId="000000B7">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34"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r w:rsidDel="00000000" w:rsidR="00000000" w:rsidRPr="00000000">
              <w:rPr>
                <w:rtl w:val="0"/>
              </w:rPr>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br w:type="textWrapping"/>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Deliverables under a Statement of Work) including the Documentation; </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“Disbursements”</w:t>
            </w:r>
            <w:r w:rsidDel="00000000" w:rsidR="00000000" w:rsidRPr="00000000">
              <w:rPr>
                <w:rtl w:val="0"/>
              </w:rPr>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costs or expenses paid or to be paid to a third party on behalf of the Buyer (including any VAT), save for office expenses such as postage and courier fees;</w:t>
            </w:r>
            <w:r w:rsidDel="00000000" w:rsidR="00000000" w:rsidRPr="00000000">
              <w:rPr>
                <w:rtl w:val="0"/>
              </w:rPr>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F">
            <w:pPr>
              <w:keepNext w:val="0"/>
              <w:keepLines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01"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r w:rsidDel="00000000" w:rsidR="00000000" w:rsidRPr="00000000">
              <w:rPr>
                <w:rtl w:val="0"/>
              </w:rPr>
            </w:r>
          </w:p>
          <w:p w:rsidR="00000000" w:rsidDel="00000000" w:rsidP="00000000" w:rsidRDefault="00000000" w:rsidRPr="00000000" w14:paraId="000000E0">
            <w:pPr>
              <w:keepNext w:val="0"/>
              <w:keepLines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501" w:right="21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21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F1">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after="0" w:lineRule="auto"/>
        <w:ind w:left="141" w:firstLine="0"/>
        <w:rPr>
          <w:rFonts w:ascii="Arial" w:cs="Arial" w:eastAsia="Arial" w:hAnsi="Arial"/>
          <w:color w:val="000000"/>
          <w:sz w:val="24"/>
          <w:szCs w:val="24"/>
        </w:rPr>
      </w:pPr>
      <w:r w:rsidDel="00000000" w:rsidR="00000000" w:rsidRPr="00000000">
        <w:rPr>
          <w:rtl w:val="0"/>
        </w:rPr>
      </w:r>
    </w:p>
    <w:tbl>
      <w:tblPr>
        <w:tblStyle w:val="Table2"/>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680"/>
        <w:tblGridChange w:id="0">
          <w:tblGrid>
            <w:gridCol w:w="2400"/>
            <w:gridCol w:w="768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line="276"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02">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103">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0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0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06">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0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0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A">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B">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C">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line="276"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line="276"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after="0" w:lineRule="auto"/>
        <w:ind w:left="141" w:firstLine="0"/>
        <w:rPr>
          <w:rFonts w:ascii="Arial" w:cs="Arial" w:eastAsia="Arial" w:hAnsi="Arial"/>
          <w:color w:val="000000"/>
          <w:sz w:val="24"/>
          <w:szCs w:val="24"/>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“Expression of Interest”</w:t>
            </w:r>
            <w:r w:rsidDel="00000000" w:rsidR="00000000" w:rsidRPr="00000000">
              <w:rPr>
                <w:rtl w:val="0"/>
              </w:rPr>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invitation to capable Suppliers to express an interest in bidding for the work as part of a Further Competition Procedure or to decline the opportunity prior to the Further Competition Procedure commencing.  Suppliers who decline an Expression of Interest invitation will not be invited to take part in the corresponding Further Competition Procedure unless the scope or timings of this have substantially changed from the point the Expression of Interest was issued;</w:t>
            </w:r>
            <w:r w:rsidDel="00000000" w:rsidR="00000000" w:rsidRPr="00000000">
              <w:rPr>
                <w:rtl w:val="0"/>
              </w:rPr>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“Fixed Price”</w:t>
            </w:r>
            <w:r w:rsidDel="00000000" w:rsidR="00000000" w:rsidRPr="00000000">
              <w:rPr>
                <w:rtl w:val="0"/>
              </w:rPr>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Pricing Mechanism where Charges are agreed at a set amount in relation to a Contract, Deliverable(s) (or one or more element of the Deliverable(s)) or Milestones and the amount to be paid by the Buyer will not exceed the agreed fixed price;</w:t>
            </w:r>
            <w:r w:rsidDel="00000000" w:rsidR="00000000" w:rsidRPr="00000000">
              <w:rPr>
                <w:rtl w:val="0"/>
              </w:rPr>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2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2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2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25">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as set out in section 3(10) of the Data Protection Act 2018, supplemented by section 205(4);</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42">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43">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E">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r w:rsidDel="00000000" w:rsidR="00000000" w:rsidRPr="00000000">
              <w:rPr>
                <w:rtl w:val="0"/>
              </w:rPr>
            </w:r>
          </w:p>
          <w:p w:rsidR="00000000" w:rsidDel="00000000" w:rsidP="00000000" w:rsidRDefault="00000000" w:rsidRPr="00000000" w14:paraId="0000014F">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r w:rsidDel="00000000" w:rsidR="00000000" w:rsidRPr="00000000">
              <w:rPr>
                <w:rtl w:val="0"/>
              </w:rPr>
            </w:r>
          </w:p>
        </w:tc>
      </w:tr>
      <w:tr>
        <w:trPr>
          <w:cantSplit w:val="0"/>
          <w:tblHeader w:val="0"/>
        </w:trPr>
        <w:tc>
          <w:tcPr/>
          <w:p w:rsidR="00000000" w:rsidDel="00000000" w:rsidP="00000000" w:rsidRDefault="00000000" w:rsidRPr="00000000" w14:paraId="00000150">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A">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B">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C">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5D">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E">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7C">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F">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80">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81">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“Inward Exchange”</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exchange of Buyer’s Personnel from the Buyer to the Supplier in accordance with the Secondment Agreement;</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of any third party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4">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95">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96">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21 of the Framework Award Form and in the Key Subcontractor Section in Order Form;</w:t>
            </w:r>
          </w:p>
        </w:tc>
      </w:tr>
      <w:tr>
        <w:trPr>
          <w:cantSplit w:val="0"/>
          <w:tblHeader w:val="0"/>
        </w:trPr>
        <w:tc>
          <w:tcPr/>
          <w:p w:rsidR="00000000" w:rsidDel="00000000" w:rsidP="00000000" w:rsidRDefault="00000000" w:rsidRPr="00000000" w14:paraId="00000198">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and professional fees), disbursements, costs of investigation, litigation, settlement, judgment, interest, fines and penalties (including regulatory penalties, fines and expenses)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construed accordingly; </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8">
            <w:pPr>
              <w:numPr>
                <w:ilvl w:val="1"/>
                <w:numId w:val="10"/>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9">
            <w:pPr>
              <w:numPr>
                <w:ilvl w:val="1"/>
                <w:numId w:val="10"/>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AA">
            <w:pPr>
              <w:numPr>
                <w:ilvl w:val="1"/>
                <w:numId w:val="10"/>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 w:righ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 or Order Form;</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8">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B9">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BD">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BE">
            <w:pPr>
              <w:numPr>
                <w:ilvl w:val="2"/>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BF">
            <w:pPr>
              <w:numPr>
                <w:ilvl w:val="2"/>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C0">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3">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C4">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C5">
            <w:pPr>
              <w:numPr>
                <w:ilvl w:val="2"/>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1C6">
            <w:pPr>
              <w:numPr>
                <w:ilvl w:val="2"/>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1C7">
            <w:pPr>
              <w:numPr>
                <w:ilvl w:val="2"/>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1C8">
            <w:pPr>
              <w:numPr>
                <w:ilvl w:val="2"/>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1C9">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CA">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CB">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CC">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CD">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E">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 </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“Outward Exchange”</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exchange of Supplier Staff from the Supplier to the Buyer in accordance with the Secondment Agreement;</w:t>
            </w:r>
          </w:p>
        </w:tc>
      </w:tr>
      <w:tr>
        <w:trPr>
          <w:cantSplit w:val="0"/>
          <w:tblHeader w:val="0"/>
        </w:trPr>
        <w:tc>
          <w:tcPr/>
          <w:p w:rsidR="00000000" w:rsidDel="00000000" w:rsidP="00000000" w:rsidRDefault="00000000" w:rsidRPr="00000000" w14:paraId="000001D9">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DB">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“Pricing Mechanism”</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 including but not limited to those set out in Framework Schedule 3 (Framework Prices), and if applicable as set out by the Buyer in the Order Form;</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A">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FB">
            <w:pPr>
              <w:numPr>
                <w:ilvl w:val="2"/>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r w:rsidDel="00000000" w:rsidR="00000000" w:rsidRPr="00000000">
              <w:rPr>
                <w:rtl w:val="0"/>
              </w:rPr>
            </w:r>
          </w:p>
          <w:p w:rsidR="00000000" w:rsidDel="00000000" w:rsidP="00000000" w:rsidRDefault="00000000" w:rsidRPr="00000000" w14:paraId="000001FC">
            <w:pPr>
              <w:numPr>
                <w:ilvl w:val="2"/>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r w:rsidDel="00000000" w:rsidR="00000000" w:rsidRPr="00000000">
              <w:rPr>
                <w:rtl w:val="0"/>
              </w:rPr>
            </w:r>
          </w:p>
          <w:p w:rsidR="00000000" w:rsidDel="00000000" w:rsidP="00000000" w:rsidRDefault="00000000" w:rsidRPr="00000000" w14:paraId="000001FD">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FE">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FF">
            <w:pPr>
              <w:numPr>
                <w:ilvl w:val="2"/>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r w:rsidDel="00000000" w:rsidR="00000000" w:rsidRPr="00000000">
              <w:rPr>
                <w:rtl w:val="0"/>
              </w:rPr>
            </w:r>
          </w:p>
          <w:p w:rsidR="00000000" w:rsidDel="00000000" w:rsidP="00000000" w:rsidRDefault="00000000" w:rsidRPr="00000000" w14:paraId="00000200">
            <w:pPr>
              <w:numPr>
                <w:ilvl w:val="2"/>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r w:rsidDel="00000000" w:rsidR="00000000" w:rsidRPr="00000000">
              <w:rPr>
                <w:rtl w:val="0"/>
              </w:rPr>
            </w:r>
          </w:p>
          <w:p w:rsidR="00000000" w:rsidDel="00000000" w:rsidP="00000000" w:rsidRDefault="00000000" w:rsidRPr="00000000" w14:paraId="00000201">
            <w:pPr>
              <w:numPr>
                <w:ilvl w:val="2"/>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r w:rsidDel="00000000" w:rsidR="00000000" w:rsidRPr="00000000">
              <w:rPr>
                <w:rtl w:val="0"/>
              </w:rPr>
            </w:r>
          </w:p>
          <w:p w:rsidR="00000000" w:rsidDel="00000000" w:rsidP="00000000" w:rsidRDefault="00000000" w:rsidRPr="00000000" w14:paraId="00000202">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0B">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0C">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0D">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“Regulatory Compliance”</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shall at all times be supplied in accordance with, amongst other things:</w:t>
            </w:r>
          </w:p>
          <w:p w:rsidR="00000000" w:rsidDel="00000000" w:rsidP="00000000" w:rsidRDefault="00000000" w:rsidRPr="00000000" w14:paraId="00000214">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4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legal and professional practice rules, codes, principles and proper interpretation of the law and court decisions in existence in the applicable jurisdiction at the date on which the Deliverable (or element of the Deliverables) is supplied to the Buyer; and</w:t>
            </w:r>
          </w:p>
          <w:p w:rsidR="00000000" w:rsidDel="00000000" w:rsidP="00000000" w:rsidRDefault="00000000" w:rsidRPr="00000000" w14:paraId="00000215">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standards of professionalism expected by the professional body that registers and authorises individuals (for example, solicitors, registered European lawyers and registered foreign lawyers) and firms of solicitors (or equivalents) to practice and provide legal services in the applicable jurisdiction;</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18">
            <w:pPr>
              <w:numPr>
                <w:ilvl w:val="1"/>
                <w:numId w:val="3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19">
            <w:pPr>
              <w:numPr>
                <w:ilvl w:val="1"/>
                <w:numId w:val="3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1D">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1E">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76" w:lineRule="auto"/>
              <w:ind w:left="432" w:right="144" w:hanging="25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r w:rsidDel="00000000" w:rsidR="00000000" w:rsidRPr="00000000">
              <w:rPr>
                <w:rtl w:val="0"/>
              </w:rPr>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22">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28">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temporary transfer of one or more Supplier Staff from the Supplier to the Buyer to another position or employment, in accordance with the Secondment Agreement for the Secondment Charge; and “</w:t>
            </w:r>
            <w:r w:rsidDel="00000000" w:rsidR="00000000" w:rsidRPr="00000000">
              <w:rPr>
                <w:rFonts w:ascii="Arial" w:cs="Arial" w:eastAsia="Arial" w:hAnsi="Arial"/>
                <w:b w:val="1"/>
                <w:color w:val="000000"/>
                <w:sz w:val="24"/>
                <w:szCs w:val="24"/>
                <w:rtl w:val="0"/>
              </w:rPr>
              <w:t xml:space="preserve">Secondee</w:t>
            </w:r>
            <w:r w:rsidDel="00000000" w:rsidR="00000000" w:rsidRPr="00000000">
              <w:rPr>
                <w:rFonts w:ascii="Arial" w:cs="Arial" w:eastAsia="Arial" w:hAnsi="Arial"/>
                <w:color w:val="000000"/>
                <w:sz w:val="24"/>
                <w:szCs w:val="24"/>
                <w:rtl w:val="0"/>
              </w:rPr>
              <w:t xml:space="preserve">” is a person on a Secondment;</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Agreement”</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entered into between the Supplier and Buyer regarding an Inward Exchange or an Outward Exchange or a Secondment which shall be in the form and format of Call-Off Schedule 25 (Secondment Agreement Template);</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Charge”</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 agreed between the Buyer and the Supplier as set out in the Order Form (exclusive of VAT) for Supplier Staff on a Secondment;</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44">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46">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4C">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4D">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“SOW End Date”</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179"/>
                <w:tab w:val="left" w:leader="none" w:pos="-9"/>
                <w:tab w:val="left" w:leader="none" w:pos="623"/>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End Date as set out in the Statement of Work which may or may not be the same as the Contract End Date;</w:t>
            </w:r>
          </w:p>
        </w:tc>
      </w:tr>
      <w:tr>
        <w:trPr>
          <w:cantSplit w:val="0"/>
          <w:trHeight w:val="945" w:hRule="atLeast"/>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“SOW Start Date”</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as set out in the Statement of Work which may or may not be the same as the Contract Start Date;</w:t>
            </w:r>
          </w:p>
        </w:tc>
      </w:tr>
      <w:tr>
        <w:trPr>
          <w:cantSplit w:val="0"/>
          <w:trHeight w:val="945" w:hRule="atLeast"/>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5C">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5D">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5E">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5F">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62">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64">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Work” or “SOW”</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Annex to the Order Form which, upon its execution by the Buyer and Supplier, shall become incorporated into their Call-Off Contract and it outlines the agreed body of works to be undertaken as part of the Call-Off Contract Deliverables. There may be any number of Statements of Work Annexed to the Order Form incorporated into a Call-Off Contract and each Statement of Work may include (but is not limited to) the Statement of Requirements, identified output(s), completion date(s) and charging method(s);</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68">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6A">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6B">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6C">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7C">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7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7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leader="none" w:pos="1134"/>
              </w:tabs>
              <w:spacing w:after="120" w:before="120" w:lineRule="auto"/>
              <w:ind w:left="141" w:right="144"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87">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88">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89">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Relationship Manager”</w:t>
            </w:r>
            <w:r w:rsidDel="00000000" w:rsidR="00000000" w:rsidRPr="00000000">
              <w:rPr>
                <w:rtl w:val="0"/>
              </w:rPr>
            </w:r>
          </w:p>
        </w:tc>
        <w:tc>
          <w:tcPr/>
          <w:p w:rsidR="00000000" w:rsidDel="00000000" w:rsidP="00000000" w:rsidRDefault="00000000" w:rsidRPr="00000000" w14:paraId="0000028F">
            <w:pPr>
              <w:ind w:firstLine="102"/>
              <w:rPr>
                <w:rFonts w:ascii="Arial" w:cs="Arial" w:eastAsia="Arial" w:hAnsi="Arial"/>
                <w:sz w:val="24"/>
                <w:szCs w:val="24"/>
              </w:rPr>
            </w:pPr>
            <w:r w:rsidDel="00000000" w:rsidR="00000000" w:rsidRPr="00000000">
              <w:rPr>
                <w:rFonts w:ascii="Arial" w:cs="Arial" w:eastAsia="Arial" w:hAnsi="Arial"/>
                <w:sz w:val="24"/>
                <w:szCs w:val="24"/>
                <w:rtl w:val="0"/>
              </w:rPr>
              <w:t xml:space="preserve">the individual appointed by the Government Legal Department whose role encompasses:</w:t>
            </w:r>
          </w:p>
          <w:p w:rsidR="00000000" w:rsidDel="00000000" w:rsidP="00000000" w:rsidRDefault="00000000" w:rsidRPr="00000000" w14:paraId="00000290">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of the relationship between the Buyers and suppliers appointed to the framework (including the Supplier) in order to deliver maximum value; and </w:t>
            </w:r>
            <w:r w:rsidDel="00000000" w:rsidR="00000000" w:rsidRPr="00000000">
              <w:rPr>
                <w:rtl w:val="0"/>
              </w:rPr>
            </w:r>
          </w:p>
          <w:p w:rsidR="00000000" w:rsidDel="00000000" w:rsidP="00000000" w:rsidRDefault="00000000" w:rsidRPr="00000000" w14:paraId="00000291">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76" w:lineRule="auto"/>
              <w:ind w:left="720" w:right="144"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collaboratively with the Supplier and Other Contracting Authorities to establish and maintain objectives to ensure strategic alignment in the provision of the Deliverables;</w:t>
            </w:r>
            <w:r w:rsidDel="00000000" w:rsidR="00000000" w:rsidRPr="00000000">
              <w:rPr>
                <w:rtl w:val="0"/>
              </w:rPr>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97">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98">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99">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9A">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A2">
            <w:pPr>
              <w:numPr>
                <w:ilvl w:val="1"/>
                <w:numId w:val="15"/>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A3">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AA">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A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A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A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A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B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B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B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B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C3">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2025</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2"/>
      <w:numFmt w:val="lowerLetter"/>
      <w:lvlText w:val="%1)"/>
      <w:lvlJc w:val="left"/>
      <w:pPr>
        <w:ind w:left="501" w:hanging="360"/>
      </w:pPr>
      <w:rPr>
        <w:sz w:val="22"/>
        <w:szCs w:val="22"/>
      </w:rPr>
    </w:lvl>
    <w:lvl w:ilvl="1">
      <w:start w:val="1"/>
      <w:numFmt w:val="lowerLetter"/>
      <w:lvlText w:val="%2."/>
      <w:lvlJc w:val="left"/>
      <w:pPr>
        <w:ind w:left="1221" w:hanging="360"/>
      </w:pPr>
      <w:rPr/>
    </w:lvl>
    <w:lvl w:ilvl="2">
      <w:start w:val="1"/>
      <w:numFmt w:val="lowerRoman"/>
      <w:lvlText w:val="%3."/>
      <w:lvlJc w:val="right"/>
      <w:pPr>
        <w:ind w:left="1941" w:hanging="180"/>
      </w:pPr>
      <w:rPr/>
    </w:lvl>
    <w:lvl w:ilvl="3">
      <w:start w:val="1"/>
      <w:numFmt w:val="decimal"/>
      <w:lvlText w:val="%4."/>
      <w:lvlJc w:val="left"/>
      <w:pPr>
        <w:ind w:left="2661" w:hanging="360"/>
      </w:pPr>
      <w:rPr/>
    </w:lvl>
    <w:lvl w:ilvl="4">
      <w:start w:val="1"/>
      <w:numFmt w:val="lowerLetter"/>
      <w:lvlText w:val="%5."/>
      <w:lvlJc w:val="left"/>
      <w:pPr>
        <w:ind w:left="3381" w:hanging="360"/>
      </w:pPr>
      <w:rPr/>
    </w:lvl>
    <w:lvl w:ilvl="5">
      <w:start w:val="1"/>
      <w:numFmt w:val="lowerRoman"/>
      <w:lvlText w:val="%6."/>
      <w:lvlJc w:val="right"/>
      <w:pPr>
        <w:ind w:left="4101" w:hanging="180"/>
      </w:pPr>
      <w:rPr/>
    </w:lvl>
    <w:lvl w:ilvl="6">
      <w:start w:val="1"/>
      <w:numFmt w:val="decimal"/>
      <w:lvlText w:val="%7."/>
      <w:lvlJc w:val="left"/>
      <w:pPr>
        <w:ind w:left="4821" w:hanging="360"/>
      </w:pPr>
      <w:rPr/>
    </w:lvl>
    <w:lvl w:ilvl="7">
      <w:start w:val="1"/>
      <w:numFmt w:val="lowerLetter"/>
      <w:lvlText w:val="%8."/>
      <w:lvlJc w:val="left"/>
      <w:pPr>
        <w:ind w:left="5541" w:hanging="360"/>
      </w:pPr>
      <w:rPr/>
    </w:lvl>
    <w:lvl w:ilvl="8">
      <w:start w:val="1"/>
      <w:numFmt w:val="lowerRoman"/>
      <w:lvlText w:val="%9."/>
      <w:lvlJc w:val="right"/>
      <w:pPr>
        <w:ind w:left="6261" w:hanging="18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534" w:hanging="360"/>
      </w:pPr>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val="1"/>
    <w:unhideWhenUsed w:val="1"/>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8"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9"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a"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3ceFB32IyKpatGBXvmhQi7xwXw==">CgMxLjAyCWguMmV0OTJwMDIJaWQuZ2pkZ3hzMgloLjMwajB6bGwyCWguMWZvYjl0ZTIJaC4zem55c2g3MgloLjN6bnlzaDcyCWguM3pueXNoNzIIaC5namRneHM4AHIhMVYyUENQQmxBX0h3OWNpQVRvWFZlTElKc0tmZHZ0ZThN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2025-01-30T11:18:00Z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